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4DEE" w14:textId="77777777" w:rsidR="00EB2EAE" w:rsidRPr="00EB2EAE" w:rsidRDefault="00EB2EAE" w:rsidP="00EB2EAE">
      <w:pPr>
        <w:spacing w:before="100" w:beforeAutospacing="1" w:after="100" w:afterAutospacing="1" w:line="240" w:lineRule="auto"/>
        <w:outlineLvl w:val="1"/>
        <w:rPr>
          <w:rFonts w:ascii="Avenir Light" w:eastAsia="Times New Roman" w:hAnsi="Avenir Light" w:cs="Times New Roman"/>
          <w:color w:val="000000"/>
          <w:kern w:val="0"/>
          <w14:ligatures w14:val="none"/>
        </w:rPr>
      </w:pPr>
      <w:proofErr w:type="spellStart"/>
      <w:r w:rsidRPr="00EB2EAE">
        <w:rPr>
          <w:rFonts w:ascii="Avenir Light" w:eastAsia="Times New Roman" w:hAnsi="Avenir Light" w:cs="Times New Roman"/>
          <w:color w:val="000000"/>
          <w:kern w:val="0"/>
          <w14:ligatures w14:val="none"/>
        </w:rPr>
        <w:t>Kinetik</w:t>
      </w:r>
      <w:proofErr w:type="spellEnd"/>
      <w:r w:rsidRPr="00EB2EAE">
        <w:rPr>
          <w:rFonts w:ascii="Avenir Light" w:eastAsia="Times New Roman" w:hAnsi="Avenir Light" w:cs="Times New Roman"/>
          <w:color w:val="000000"/>
          <w:kern w:val="0"/>
          <w14:ligatures w14:val="none"/>
        </w:rPr>
        <w:t xml:space="preserve"> AI Overview</w:t>
      </w:r>
    </w:p>
    <w:p w14:paraId="3AC9677F" w14:textId="77777777" w:rsidR="00EB2EAE" w:rsidRPr="00EB2EAE" w:rsidRDefault="00EB2EAE" w:rsidP="00EB2EAE">
      <w:pPr>
        <w:spacing w:before="100" w:beforeAutospacing="1" w:after="100" w:afterAutospacing="1" w:line="240" w:lineRule="auto"/>
        <w:outlineLvl w:val="2"/>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Company Description &amp; Mission</w:t>
      </w:r>
    </w:p>
    <w:p w14:paraId="5B944A47"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proofErr w:type="spellStart"/>
      <w:r w:rsidRPr="00EB2EAE">
        <w:rPr>
          <w:rFonts w:ascii="Avenir Light" w:eastAsia="Times New Roman" w:hAnsi="Avenir Light" w:cs="Times New Roman"/>
          <w:color w:val="000000"/>
          <w:kern w:val="0"/>
          <w14:ligatures w14:val="none"/>
        </w:rPr>
        <w:t>Kinetik</w:t>
      </w:r>
      <w:proofErr w:type="spellEnd"/>
      <w:r w:rsidRPr="00EB2EAE">
        <w:rPr>
          <w:rFonts w:ascii="Avenir Light" w:eastAsia="Times New Roman" w:hAnsi="Avenir Light" w:cs="Times New Roman"/>
          <w:color w:val="000000"/>
          <w:kern w:val="0"/>
          <w14:ligatures w14:val="none"/>
        </w:rPr>
        <w:t xml:space="preserve"> delivers AI-powered buying center intelligence that transforms how enterprise B2B technology companies go to market. Our mission is to replace outdated lead scoring and account-level analysis with actionable, buying center–level intelligence. By decoding who is in the buying group, what stage they’re in, and how best to engage them, we provide precision GTM orchestration that outperforms generic CRM analytics and costly consulting. Our solutions are designed to help revenue teams accelerate complex deal cycles, improve pipeline predictability, and achieve sustainable growth.</w:t>
      </w:r>
    </w:p>
    <w:p w14:paraId="62F26925" w14:textId="77777777" w:rsidR="00EB2EAE" w:rsidRPr="00EB2EAE" w:rsidRDefault="00AC127F" w:rsidP="00EB2EAE">
      <w:pPr>
        <w:spacing w:after="0" w:line="240" w:lineRule="auto"/>
        <w:rPr>
          <w:rFonts w:ascii="Avenir Light" w:eastAsia="Times New Roman" w:hAnsi="Avenir Light" w:cs="Times New Roman"/>
          <w:kern w:val="0"/>
          <w14:ligatures w14:val="none"/>
        </w:rPr>
      </w:pPr>
      <w:r w:rsidRPr="00AC127F">
        <w:rPr>
          <w:rFonts w:ascii="Avenir Light" w:eastAsia="Times New Roman" w:hAnsi="Avenir Light" w:cs="Times New Roman"/>
          <w:noProof/>
          <w:kern w:val="0"/>
        </w:rPr>
        <w:pict w14:anchorId="31AAD867">
          <v:rect id="_x0000_i1032" alt="" style="width:468pt;height:.05pt;mso-width-percent:0;mso-height-percent:0;mso-width-percent:0;mso-height-percent:0" o:hralign="center" o:hrstd="t" o:hr="t" fillcolor="#a0a0a0" stroked="f"/>
        </w:pict>
      </w:r>
    </w:p>
    <w:p w14:paraId="08B8AB1A" w14:textId="77777777" w:rsidR="00EB2EAE" w:rsidRPr="00EB2EAE" w:rsidRDefault="00EB2EAE" w:rsidP="00EB2EAE">
      <w:pPr>
        <w:spacing w:before="100" w:beforeAutospacing="1" w:after="100" w:afterAutospacing="1" w:line="240" w:lineRule="auto"/>
        <w:outlineLvl w:val="2"/>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Solutions / Product</w:t>
      </w:r>
    </w:p>
    <w:p w14:paraId="2F88C52F"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proofErr w:type="spellStart"/>
      <w:r w:rsidRPr="00EB2EAE">
        <w:rPr>
          <w:rFonts w:ascii="Avenir Light" w:eastAsia="Times New Roman" w:hAnsi="Avenir Light" w:cs="Times New Roman"/>
          <w:color w:val="000000"/>
          <w:kern w:val="0"/>
          <w14:ligatures w14:val="none"/>
        </w:rPr>
        <w:t>Kinetik’s</w:t>
      </w:r>
      <w:proofErr w:type="spellEnd"/>
      <w:r w:rsidRPr="00EB2EAE">
        <w:rPr>
          <w:rFonts w:ascii="Avenir Light" w:eastAsia="Times New Roman" w:hAnsi="Avenir Light" w:cs="Times New Roman"/>
          <w:color w:val="000000"/>
          <w:kern w:val="0"/>
          <w14:ligatures w14:val="none"/>
        </w:rPr>
        <w:t> Integrated Signals Intelligence Engine is a modular platform purpose-built for enterprise B2B revenue teams:</w:t>
      </w:r>
    </w:p>
    <w:p w14:paraId="2D017384" w14:textId="77777777" w:rsidR="00EB2EAE" w:rsidRPr="00EB2EAE" w:rsidRDefault="00EB2EAE" w:rsidP="00EB2EAE">
      <w:pPr>
        <w:numPr>
          <w:ilvl w:val="0"/>
          <w:numId w:val="1"/>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Buying Group Composition – Uses graph neural networks (GNN) to infer Champions, Decision-Makers, Influencers, and Users, while identifying missing stakeholders.</w:t>
      </w:r>
    </w:p>
    <w:p w14:paraId="2BB967D2" w14:textId="77777777" w:rsidR="00EB2EAE" w:rsidRPr="00EB2EAE" w:rsidRDefault="00EB2EAE" w:rsidP="00EB2EAE">
      <w:pPr>
        <w:numPr>
          <w:ilvl w:val="0"/>
          <w:numId w:val="1"/>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Buying Stage Inference – Classifies accounts into one of five stages using multi-instance learning, aligning GTM motions with readiness.</w:t>
      </w:r>
    </w:p>
    <w:p w14:paraId="02D0A71A" w14:textId="77777777" w:rsidR="00EB2EAE" w:rsidRPr="00EB2EAE" w:rsidRDefault="00EB2EAE" w:rsidP="00EB2EAE">
      <w:pPr>
        <w:numPr>
          <w:ilvl w:val="0"/>
          <w:numId w:val="1"/>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Engagement Scoring Engine – Prioritizes opportunities based on Interest, Intent, and Ideal Prospect Fit.</w:t>
      </w:r>
    </w:p>
    <w:p w14:paraId="19A752AF" w14:textId="77777777" w:rsidR="00EB2EAE" w:rsidRPr="00EB2EAE" w:rsidRDefault="00EB2EAE" w:rsidP="00EB2EAE">
      <w:pPr>
        <w:numPr>
          <w:ilvl w:val="0"/>
          <w:numId w:val="1"/>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Buying Center Insights &amp; Journey Visualization – Tableau- and React-based dashboards that map engagement over time, across accounts, roles, and touchpoints.</w:t>
      </w:r>
    </w:p>
    <w:p w14:paraId="431BCCEE" w14:textId="77777777" w:rsidR="00EB2EAE" w:rsidRPr="00EB2EAE" w:rsidRDefault="00EB2EAE" w:rsidP="00EB2EAE">
      <w:pPr>
        <w:numPr>
          <w:ilvl w:val="0"/>
          <w:numId w:val="1"/>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Simulation &amp; Forecasting – Monte Carlo simulation engine that forecasts deal progression and identifies risk factors.</w:t>
      </w:r>
    </w:p>
    <w:p w14:paraId="1C91B0A3"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This modular approach allows enterprises to adopt fully managed SaaS, deploy self-serve models, or leverage DIY modules with coaching.</w:t>
      </w:r>
    </w:p>
    <w:p w14:paraId="1C321F74" w14:textId="77777777" w:rsidR="00EB2EAE" w:rsidRPr="00EB2EAE" w:rsidRDefault="00AC127F" w:rsidP="00EB2EAE">
      <w:pPr>
        <w:spacing w:after="0" w:line="240" w:lineRule="auto"/>
        <w:rPr>
          <w:rFonts w:ascii="Avenir Light" w:eastAsia="Times New Roman" w:hAnsi="Avenir Light" w:cs="Times New Roman"/>
          <w:kern w:val="0"/>
          <w14:ligatures w14:val="none"/>
        </w:rPr>
      </w:pPr>
      <w:r w:rsidRPr="00AC127F">
        <w:rPr>
          <w:rFonts w:ascii="Avenir Light" w:eastAsia="Times New Roman" w:hAnsi="Avenir Light" w:cs="Times New Roman"/>
          <w:noProof/>
          <w:kern w:val="0"/>
        </w:rPr>
        <w:pict w14:anchorId="023CB426">
          <v:rect id="_x0000_i1031" alt="" style="width:468pt;height:.05pt;mso-width-percent:0;mso-height-percent:0;mso-width-percent:0;mso-height-percent:0" o:hralign="center" o:hrstd="t" o:hr="t" fillcolor="#a0a0a0" stroked="f"/>
        </w:pict>
      </w:r>
    </w:p>
    <w:p w14:paraId="49ED6E7F" w14:textId="77777777" w:rsidR="00EB2EAE" w:rsidRPr="00EB2EAE" w:rsidRDefault="00EB2EAE" w:rsidP="00EB2EAE">
      <w:pPr>
        <w:spacing w:before="100" w:beforeAutospacing="1" w:after="100" w:afterAutospacing="1" w:line="240" w:lineRule="auto"/>
        <w:outlineLvl w:val="2"/>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Revenue Model</w:t>
      </w:r>
    </w:p>
    <w:p w14:paraId="34B4D14F"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proofErr w:type="spellStart"/>
      <w:r w:rsidRPr="00EB2EAE">
        <w:rPr>
          <w:rFonts w:ascii="Avenir Light" w:eastAsia="Times New Roman" w:hAnsi="Avenir Light" w:cs="Times New Roman"/>
          <w:color w:val="000000"/>
          <w:kern w:val="0"/>
          <w14:ligatures w14:val="none"/>
        </w:rPr>
        <w:lastRenderedPageBreak/>
        <w:t>Kinetik</w:t>
      </w:r>
      <w:proofErr w:type="spellEnd"/>
      <w:r w:rsidRPr="00EB2EAE">
        <w:rPr>
          <w:rFonts w:ascii="Avenir Light" w:eastAsia="Times New Roman" w:hAnsi="Avenir Light" w:cs="Times New Roman"/>
          <w:color w:val="000000"/>
          <w:kern w:val="0"/>
          <w14:ligatures w14:val="none"/>
        </w:rPr>
        <w:t xml:space="preserve"> monetizes through a SaaS subscription model and a hybrid DIY + coaching model:</w:t>
      </w:r>
    </w:p>
    <w:p w14:paraId="17CE8F01" w14:textId="77777777" w:rsidR="00EB2EAE" w:rsidRPr="00EB2EAE" w:rsidRDefault="00EB2EAE" w:rsidP="00EB2EAE">
      <w:pPr>
        <w:numPr>
          <w:ilvl w:val="0"/>
          <w:numId w:val="2"/>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SaaS Subscriptions</w:t>
      </w:r>
    </w:p>
    <w:p w14:paraId="6A50E1E4" w14:textId="77777777" w:rsidR="00EB2EAE" w:rsidRPr="00EB2EAE" w:rsidRDefault="00EB2EAE" w:rsidP="00EB2EAE">
      <w:pPr>
        <w:numPr>
          <w:ilvl w:val="1"/>
          <w:numId w:val="2"/>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 xml:space="preserve">Enterprise Tier: Full integration with CRM, MAPs, and </w:t>
      </w:r>
      <w:proofErr w:type="spellStart"/>
      <w:r w:rsidRPr="00EB2EAE">
        <w:rPr>
          <w:rFonts w:ascii="Avenir Light" w:eastAsia="Times New Roman" w:hAnsi="Avenir Light" w:cs="Times New Roman"/>
          <w:color w:val="000000"/>
          <w:kern w:val="0"/>
          <w14:ligatures w14:val="none"/>
        </w:rPr>
        <w:t>RevOps</w:t>
      </w:r>
      <w:proofErr w:type="spellEnd"/>
      <w:r w:rsidRPr="00EB2EAE">
        <w:rPr>
          <w:rFonts w:ascii="Avenir Light" w:eastAsia="Times New Roman" w:hAnsi="Avenir Light" w:cs="Times New Roman"/>
          <w:color w:val="000000"/>
          <w:kern w:val="0"/>
          <w14:ligatures w14:val="none"/>
        </w:rPr>
        <w:t xml:space="preserve"> systems, delivering automated insights, scoring, and dashboards.</w:t>
      </w:r>
    </w:p>
    <w:p w14:paraId="3BF6E170" w14:textId="77777777" w:rsidR="00EB2EAE" w:rsidRPr="00EB2EAE" w:rsidRDefault="00EB2EAE" w:rsidP="00EB2EAE">
      <w:pPr>
        <w:numPr>
          <w:ilvl w:val="1"/>
          <w:numId w:val="2"/>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Self-Serve Tier: For enterprises with internal analytics teams, offering pre-built models and dashboards deployed on their infrastructure.</w:t>
      </w:r>
    </w:p>
    <w:p w14:paraId="093357F6" w14:textId="77777777" w:rsidR="00EB2EAE" w:rsidRPr="00EB2EAE" w:rsidRDefault="00EB2EAE" w:rsidP="00EB2EAE">
      <w:pPr>
        <w:numPr>
          <w:ilvl w:val="0"/>
          <w:numId w:val="2"/>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DIY + Coaching Model</w:t>
      </w:r>
    </w:p>
    <w:p w14:paraId="11C23CC8" w14:textId="77777777" w:rsidR="00EB2EAE" w:rsidRPr="00EB2EAE" w:rsidRDefault="00EB2EAE" w:rsidP="00EB2EAE">
      <w:pPr>
        <w:numPr>
          <w:ilvl w:val="1"/>
          <w:numId w:val="2"/>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Access to a library of AI modules (five today, expanding to nine by December), covering role inference, stage inference, engagement scoring, and journey visualization.</w:t>
      </w:r>
    </w:p>
    <w:p w14:paraId="63A271E9" w14:textId="77777777" w:rsidR="00EB2EAE" w:rsidRPr="00EB2EAE" w:rsidRDefault="00EB2EAE" w:rsidP="00EB2EAE">
      <w:pPr>
        <w:numPr>
          <w:ilvl w:val="1"/>
          <w:numId w:val="2"/>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Enterprises pay a monthly IP subscription fee, reducing time and cost of custom builds by up to 90%.</w:t>
      </w:r>
    </w:p>
    <w:p w14:paraId="69F8ECC1" w14:textId="77777777" w:rsidR="00EB2EAE" w:rsidRPr="00EB2EAE" w:rsidRDefault="00EB2EAE" w:rsidP="00EB2EAE">
      <w:pPr>
        <w:numPr>
          <w:ilvl w:val="1"/>
          <w:numId w:val="2"/>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Embedded coaching (</w:t>
      </w:r>
      <w:proofErr w:type="spellStart"/>
      <w:r w:rsidRPr="00EB2EAE">
        <w:rPr>
          <w:rFonts w:ascii="Avenir Light" w:eastAsia="Times New Roman" w:hAnsi="Avenir Light" w:cs="Times New Roman"/>
          <w:color w:val="000000"/>
          <w:kern w:val="0"/>
          <w14:ligatures w14:val="none"/>
        </w:rPr>
        <w:t>Jupyter</w:t>
      </w:r>
      <w:proofErr w:type="spellEnd"/>
      <w:r w:rsidRPr="00EB2EAE">
        <w:rPr>
          <w:rFonts w:ascii="Avenir Light" w:eastAsia="Times New Roman" w:hAnsi="Avenir Light" w:cs="Times New Roman"/>
          <w:color w:val="000000"/>
          <w:kern w:val="0"/>
          <w14:ligatures w14:val="none"/>
        </w:rPr>
        <w:t xml:space="preserve"> notebooks, advisory sessions, labs) accelerates adoption.</w:t>
      </w:r>
    </w:p>
    <w:p w14:paraId="0D9FA4A6" w14:textId="77777777" w:rsidR="00EB2EAE" w:rsidRPr="00EB2EAE" w:rsidRDefault="00EB2EAE" w:rsidP="00EB2EAE">
      <w:pPr>
        <w:numPr>
          <w:ilvl w:val="0"/>
          <w:numId w:val="2"/>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Partner Licensing</w:t>
      </w:r>
    </w:p>
    <w:p w14:paraId="407C236F" w14:textId="77777777" w:rsidR="00EB2EAE" w:rsidRPr="00EB2EAE" w:rsidRDefault="00EB2EAE" w:rsidP="00EB2EAE">
      <w:pPr>
        <w:numPr>
          <w:ilvl w:val="1"/>
          <w:numId w:val="2"/>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 xml:space="preserve">Consulting partners and </w:t>
      </w:r>
      <w:proofErr w:type="spellStart"/>
      <w:r w:rsidRPr="00EB2EAE">
        <w:rPr>
          <w:rFonts w:ascii="Avenir Light" w:eastAsia="Times New Roman" w:hAnsi="Avenir Light" w:cs="Times New Roman"/>
          <w:color w:val="000000"/>
          <w:kern w:val="0"/>
          <w14:ligatures w14:val="none"/>
        </w:rPr>
        <w:t>RevOps</w:t>
      </w:r>
      <w:proofErr w:type="spellEnd"/>
      <w:r w:rsidRPr="00EB2EAE">
        <w:rPr>
          <w:rFonts w:ascii="Avenir Light" w:eastAsia="Times New Roman" w:hAnsi="Avenir Light" w:cs="Times New Roman"/>
          <w:color w:val="000000"/>
          <w:kern w:val="0"/>
          <w14:ligatures w14:val="none"/>
        </w:rPr>
        <w:t xml:space="preserve"> service providers can license access to embed </w:t>
      </w:r>
      <w:proofErr w:type="spellStart"/>
      <w:r w:rsidRPr="00EB2EAE">
        <w:rPr>
          <w:rFonts w:ascii="Avenir Light" w:eastAsia="Times New Roman" w:hAnsi="Avenir Light" w:cs="Times New Roman"/>
          <w:color w:val="000000"/>
          <w:kern w:val="0"/>
          <w14:ligatures w14:val="none"/>
        </w:rPr>
        <w:t>Kinetik</w:t>
      </w:r>
      <w:proofErr w:type="spellEnd"/>
      <w:r w:rsidRPr="00EB2EAE">
        <w:rPr>
          <w:rFonts w:ascii="Avenir Light" w:eastAsia="Times New Roman" w:hAnsi="Avenir Light" w:cs="Times New Roman"/>
          <w:color w:val="000000"/>
          <w:kern w:val="0"/>
          <w14:ligatures w14:val="none"/>
        </w:rPr>
        <w:t xml:space="preserve"> into client engagements.</w:t>
      </w:r>
    </w:p>
    <w:p w14:paraId="75683CD3"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Revenue Drivers:</w:t>
      </w:r>
    </w:p>
    <w:p w14:paraId="3AF2733F" w14:textId="77777777" w:rsidR="00EB2EAE" w:rsidRPr="00EB2EAE" w:rsidRDefault="00EB2EAE" w:rsidP="00EB2EAE">
      <w:pPr>
        <w:numPr>
          <w:ilvl w:val="0"/>
          <w:numId w:val="3"/>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SaaS subscriptions: $150K–$250K per year (Enterprise); $50K–$100K per year (Self-Serve).</w:t>
      </w:r>
    </w:p>
    <w:p w14:paraId="023C16D3" w14:textId="77777777" w:rsidR="00EB2EAE" w:rsidRPr="00EB2EAE" w:rsidRDefault="00EB2EAE" w:rsidP="00EB2EAE">
      <w:pPr>
        <w:numPr>
          <w:ilvl w:val="0"/>
          <w:numId w:val="3"/>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DIY subscriptions: $5K–$15K per month, depending on module access and support.</w:t>
      </w:r>
    </w:p>
    <w:p w14:paraId="56445572" w14:textId="77777777" w:rsidR="00EB2EAE" w:rsidRPr="00EB2EAE" w:rsidRDefault="00EB2EAE" w:rsidP="00EB2EAE">
      <w:pPr>
        <w:numPr>
          <w:ilvl w:val="0"/>
          <w:numId w:val="3"/>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Partner licensing: priced per client or per-seat.</w:t>
      </w:r>
    </w:p>
    <w:p w14:paraId="168EEA7C" w14:textId="77777777" w:rsidR="00EB2EAE" w:rsidRPr="00EB2EAE" w:rsidRDefault="00AC127F" w:rsidP="00EB2EAE">
      <w:pPr>
        <w:spacing w:after="0" w:line="240" w:lineRule="auto"/>
        <w:rPr>
          <w:rFonts w:ascii="Avenir Light" w:eastAsia="Times New Roman" w:hAnsi="Avenir Light" w:cs="Times New Roman"/>
          <w:kern w:val="0"/>
          <w14:ligatures w14:val="none"/>
        </w:rPr>
      </w:pPr>
      <w:r w:rsidRPr="00AC127F">
        <w:rPr>
          <w:rFonts w:ascii="Avenir Light" w:eastAsia="Times New Roman" w:hAnsi="Avenir Light" w:cs="Times New Roman"/>
          <w:noProof/>
          <w:kern w:val="0"/>
        </w:rPr>
        <w:pict w14:anchorId="6DD7C947">
          <v:rect id="_x0000_i1030" alt="" style="width:468pt;height:.05pt;mso-width-percent:0;mso-height-percent:0;mso-width-percent:0;mso-height-percent:0" o:hralign="center" o:hrstd="t" o:hr="t" fillcolor="#a0a0a0" stroked="f"/>
        </w:pict>
      </w:r>
    </w:p>
    <w:p w14:paraId="03C64907" w14:textId="77777777" w:rsidR="00EB2EAE" w:rsidRPr="00EB2EAE" w:rsidRDefault="00EB2EAE" w:rsidP="00EB2EAE">
      <w:pPr>
        <w:spacing w:before="100" w:beforeAutospacing="1" w:after="100" w:afterAutospacing="1" w:line="240" w:lineRule="auto"/>
        <w:outlineLvl w:val="2"/>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Defensibility</w:t>
      </w:r>
    </w:p>
    <w:p w14:paraId="68EC4AF0"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proofErr w:type="spellStart"/>
      <w:r w:rsidRPr="00EB2EAE">
        <w:rPr>
          <w:rFonts w:ascii="Avenir Light" w:eastAsia="Times New Roman" w:hAnsi="Avenir Light" w:cs="Times New Roman"/>
          <w:color w:val="000000"/>
          <w:kern w:val="0"/>
          <w14:ligatures w14:val="none"/>
        </w:rPr>
        <w:t>Kinetik</w:t>
      </w:r>
      <w:proofErr w:type="spellEnd"/>
      <w:r w:rsidRPr="00EB2EAE">
        <w:rPr>
          <w:rFonts w:ascii="Avenir Light" w:eastAsia="Times New Roman" w:hAnsi="Avenir Light" w:cs="Times New Roman"/>
          <w:color w:val="000000"/>
          <w:kern w:val="0"/>
          <w14:ligatures w14:val="none"/>
        </w:rPr>
        <w:t xml:space="preserve"> is protected by patented AI technology, proprietary scoring metrics, and deep GTM domain expertise. Unlike competitors, our models infer roles and buying stages, automate orchestration across GTM functions, and retain institutional knowledge through reusable models.</w:t>
      </w:r>
    </w:p>
    <w:p w14:paraId="4C03B845"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We also create a buying center data layer unique to each customer. Once implemented, this layer becomes deeply embedded across GTM workflows, raising switching costs and locking in long-term adoption.</w:t>
      </w:r>
    </w:p>
    <w:p w14:paraId="45C11C29"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lastRenderedPageBreak/>
        <w:t xml:space="preserve">In addition, competitors like 6Sense, </w:t>
      </w:r>
      <w:proofErr w:type="spellStart"/>
      <w:r w:rsidRPr="00EB2EAE">
        <w:rPr>
          <w:rFonts w:ascii="Avenir Light" w:eastAsia="Times New Roman" w:hAnsi="Avenir Light" w:cs="Times New Roman"/>
          <w:color w:val="000000"/>
          <w:kern w:val="0"/>
          <w14:ligatures w14:val="none"/>
        </w:rPr>
        <w:t>LeanData</w:t>
      </w:r>
      <w:proofErr w:type="spellEnd"/>
      <w:r w:rsidRPr="00EB2EAE">
        <w:rPr>
          <w:rFonts w:ascii="Avenir Light" w:eastAsia="Times New Roman" w:hAnsi="Avenir Light" w:cs="Times New Roman"/>
          <w:color w:val="000000"/>
          <w:kern w:val="0"/>
          <w14:ligatures w14:val="none"/>
        </w:rPr>
        <w:t xml:space="preserve">, and Aviso are structurally limited by their commitments to pure SaaS scale models. Their investors expect standardized platforms, preventing them from building custom, customer-specific intelligence engines. This ensures </w:t>
      </w:r>
      <w:proofErr w:type="spellStart"/>
      <w:r w:rsidRPr="00EB2EAE">
        <w:rPr>
          <w:rFonts w:ascii="Avenir Light" w:eastAsia="Times New Roman" w:hAnsi="Avenir Light" w:cs="Times New Roman"/>
          <w:color w:val="000000"/>
          <w:kern w:val="0"/>
          <w14:ligatures w14:val="none"/>
        </w:rPr>
        <w:t>Kinetik</w:t>
      </w:r>
      <w:proofErr w:type="spellEnd"/>
      <w:r w:rsidRPr="00EB2EAE">
        <w:rPr>
          <w:rFonts w:ascii="Avenir Light" w:eastAsia="Times New Roman" w:hAnsi="Avenir Light" w:cs="Times New Roman"/>
          <w:color w:val="000000"/>
          <w:kern w:val="0"/>
          <w14:ligatures w14:val="none"/>
        </w:rPr>
        <w:t xml:space="preserve"> can pursue a differentiated, defensible strategy.</w:t>
      </w:r>
    </w:p>
    <w:p w14:paraId="1C623CB8" w14:textId="77777777" w:rsidR="00EB2EAE" w:rsidRPr="00EB2EAE" w:rsidRDefault="00AC127F" w:rsidP="00EB2EAE">
      <w:pPr>
        <w:spacing w:after="0" w:line="240" w:lineRule="auto"/>
        <w:rPr>
          <w:rFonts w:ascii="Avenir Light" w:eastAsia="Times New Roman" w:hAnsi="Avenir Light" w:cs="Times New Roman"/>
          <w:kern w:val="0"/>
          <w14:ligatures w14:val="none"/>
        </w:rPr>
      </w:pPr>
      <w:r w:rsidRPr="00AC127F">
        <w:rPr>
          <w:rFonts w:ascii="Avenir Light" w:eastAsia="Times New Roman" w:hAnsi="Avenir Light" w:cs="Times New Roman"/>
          <w:noProof/>
          <w:kern w:val="0"/>
        </w:rPr>
        <w:pict w14:anchorId="0A51A0D6">
          <v:rect id="_x0000_i1029" alt="" style="width:468pt;height:.05pt;mso-width-percent:0;mso-height-percent:0;mso-width-percent:0;mso-height-percent:0" o:hralign="center" o:hrstd="t" o:hr="t" fillcolor="#a0a0a0" stroked="f"/>
        </w:pict>
      </w:r>
    </w:p>
    <w:p w14:paraId="7FC020ED" w14:textId="77777777" w:rsidR="00EB2EAE" w:rsidRPr="00EB2EAE" w:rsidRDefault="00EB2EAE" w:rsidP="00EB2EAE">
      <w:pPr>
        <w:spacing w:before="100" w:beforeAutospacing="1" w:after="100" w:afterAutospacing="1" w:line="240" w:lineRule="auto"/>
        <w:outlineLvl w:val="2"/>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Patent Details</w:t>
      </w:r>
    </w:p>
    <w:p w14:paraId="08BC2C3F"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U.S. Patent Application No. 19/198,867 – “System and Method for AI-Based Engagement Scoring and Buying Stage Inference and Buying Group Composition in Enterprise B2B Buying Centers.”</w:t>
      </w:r>
      <w:r w:rsidRPr="00EB2EAE">
        <w:rPr>
          <w:rFonts w:ascii="Avenir Light" w:eastAsia="Times New Roman" w:hAnsi="Avenir Light" w:cs="Times New Roman"/>
          <w:color w:val="000000"/>
          <w:kern w:val="0"/>
          <w14:ligatures w14:val="none"/>
        </w:rPr>
        <w:br/>
        <w:t>The invention covers an AI/ML system that ingests CRM, MAP, digital activity, and third-party intent data, resolving them to accounts and buying centers. It computes a persistent engagement score across Interest, Intent, and Ideal Prospect Fit, while inferring buying stage and classifying stakeholder roles. This overcomes the limits of traditional lead scoring, delivering actionable buying center intelligence for GTM teams.</w:t>
      </w:r>
    </w:p>
    <w:p w14:paraId="35FA2203" w14:textId="77777777" w:rsidR="00EB2EAE" w:rsidRPr="00EB2EAE" w:rsidRDefault="00AC127F" w:rsidP="00EB2EAE">
      <w:pPr>
        <w:spacing w:after="0" w:line="240" w:lineRule="auto"/>
        <w:rPr>
          <w:rFonts w:ascii="Avenir Light" w:eastAsia="Times New Roman" w:hAnsi="Avenir Light" w:cs="Times New Roman"/>
          <w:kern w:val="0"/>
          <w14:ligatures w14:val="none"/>
        </w:rPr>
      </w:pPr>
      <w:r w:rsidRPr="00AC127F">
        <w:rPr>
          <w:rFonts w:ascii="Avenir Light" w:eastAsia="Times New Roman" w:hAnsi="Avenir Light" w:cs="Times New Roman"/>
          <w:noProof/>
          <w:kern w:val="0"/>
        </w:rPr>
        <w:pict w14:anchorId="7893D57B">
          <v:rect id="_x0000_i1028" alt="" style="width:468pt;height:.05pt;mso-width-percent:0;mso-height-percent:0;mso-width-percent:0;mso-height-percent:0" o:hralign="center" o:hrstd="t" o:hr="t" fillcolor="#a0a0a0" stroked="f"/>
        </w:pict>
      </w:r>
    </w:p>
    <w:p w14:paraId="57F79E9C" w14:textId="77777777" w:rsidR="00EB2EAE" w:rsidRPr="00EB2EAE" w:rsidRDefault="00EB2EAE" w:rsidP="00EB2EAE">
      <w:pPr>
        <w:spacing w:before="100" w:beforeAutospacing="1" w:after="100" w:afterAutospacing="1" w:line="240" w:lineRule="auto"/>
        <w:outlineLvl w:val="2"/>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Risk</w:t>
      </w:r>
    </w:p>
    <w:p w14:paraId="518CB87D"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Our risks include:</w:t>
      </w:r>
    </w:p>
    <w:p w14:paraId="1E8E69E1" w14:textId="77777777" w:rsidR="00EB2EAE" w:rsidRPr="00EB2EAE" w:rsidRDefault="00EB2EAE" w:rsidP="00EB2EAE">
      <w:pPr>
        <w:numPr>
          <w:ilvl w:val="0"/>
          <w:numId w:val="4"/>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Adoption Inertia: Large enterprise GTM teams are slow to change entrenched CRM and consulting workflows.</w:t>
      </w:r>
    </w:p>
    <w:p w14:paraId="5880A7BE" w14:textId="77777777" w:rsidR="00EB2EAE" w:rsidRPr="00EB2EAE" w:rsidRDefault="00EB2EAE" w:rsidP="00EB2EAE">
      <w:pPr>
        <w:numPr>
          <w:ilvl w:val="0"/>
          <w:numId w:val="4"/>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Long Buying Cycles: Complex B2B sales extend procurement and revenue recognition timelines.</w:t>
      </w:r>
    </w:p>
    <w:p w14:paraId="5AAFF70B" w14:textId="77777777" w:rsidR="00EB2EAE" w:rsidRPr="00EB2EAE" w:rsidRDefault="00EB2EAE" w:rsidP="00EB2EAE">
      <w:pPr>
        <w:numPr>
          <w:ilvl w:val="0"/>
          <w:numId w:val="4"/>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AI Talent Competition: Sustaining technical edge requires attracting scarce top-tier AI engineers.</w:t>
      </w:r>
    </w:p>
    <w:p w14:paraId="2BA544BA" w14:textId="77777777" w:rsidR="00EB2EAE" w:rsidRPr="00EB2EAE" w:rsidRDefault="00EB2EAE" w:rsidP="00EB2EAE">
      <w:pPr>
        <w:numPr>
          <w:ilvl w:val="0"/>
          <w:numId w:val="4"/>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Rapid AI Advances: Continuous R&amp;D investment is necessary to keep our models current in a fast-evolving field.</w:t>
      </w:r>
    </w:p>
    <w:p w14:paraId="7E4A6457"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We mitigate by running consulting-led pilots with anchor clients, embedding integrations (Salesforce, Tableau, AWS), and building an IP-driven data layer that compounds in value with each deployment.</w:t>
      </w:r>
    </w:p>
    <w:p w14:paraId="06F85678" w14:textId="77777777" w:rsidR="00EB2EAE" w:rsidRPr="00EB2EAE" w:rsidRDefault="00AC127F" w:rsidP="00EB2EAE">
      <w:pPr>
        <w:spacing w:after="0" w:line="240" w:lineRule="auto"/>
        <w:rPr>
          <w:rFonts w:ascii="Avenir Light" w:eastAsia="Times New Roman" w:hAnsi="Avenir Light" w:cs="Times New Roman"/>
          <w:kern w:val="0"/>
          <w14:ligatures w14:val="none"/>
        </w:rPr>
      </w:pPr>
      <w:r w:rsidRPr="00AC127F">
        <w:rPr>
          <w:rFonts w:ascii="Avenir Light" w:eastAsia="Times New Roman" w:hAnsi="Avenir Light" w:cs="Times New Roman"/>
          <w:noProof/>
          <w:kern w:val="0"/>
        </w:rPr>
        <w:pict w14:anchorId="5A71C22C">
          <v:rect id="_x0000_i1027" alt="" style="width:468pt;height:.05pt;mso-width-percent:0;mso-height-percent:0;mso-width-percent:0;mso-height-percent:0" o:hralign="center" o:hrstd="t" o:hr="t" fillcolor="#a0a0a0" stroked="f"/>
        </w:pict>
      </w:r>
    </w:p>
    <w:p w14:paraId="0019ECA0" w14:textId="77777777" w:rsidR="00EB2EAE" w:rsidRPr="00EB2EAE" w:rsidRDefault="00EB2EAE" w:rsidP="00EB2EAE">
      <w:pPr>
        <w:spacing w:before="100" w:beforeAutospacing="1" w:after="100" w:afterAutospacing="1" w:line="240" w:lineRule="auto"/>
        <w:outlineLvl w:val="2"/>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lastRenderedPageBreak/>
        <w:t>Market Opportunity</w:t>
      </w:r>
    </w:p>
    <w:p w14:paraId="7D975DFC"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 xml:space="preserve">The market for custom AI engines in enterprise revenue operations is still nascent. Today, most enterprises rely on out-of-the-box </w:t>
      </w:r>
      <w:proofErr w:type="spellStart"/>
      <w:r w:rsidRPr="00EB2EAE">
        <w:rPr>
          <w:rFonts w:ascii="Avenir Light" w:eastAsia="Times New Roman" w:hAnsi="Avenir Light" w:cs="Times New Roman"/>
          <w:color w:val="000000"/>
          <w:kern w:val="0"/>
          <w14:ligatures w14:val="none"/>
        </w:rPr>
        <w:t>RevOps</w:t>
      </w:r>
      <w:proofErr w:type="spellEnd"/>
      <w:r w:rsidRPr="00EB2EAE">
        <w:rPr>
          <w:rFonts w:ascii="Avenir Light" w:eastAsia="Times New Roman" w:hAnsi="Avenir Light" w:cs="Times New Roman"/>
          <w:color w:val="000000"/>
          <w:kern w:val="0"/>
          <w14:ligatures w14:val="none"/>
        </w:rPr>
        <w:t xml:space="preserve"> dashboards, MAPs, MDPs, and revenue intelligence software. While useful for visibility, these tools fail to provide role-specific buying center insights. Early adopters of </w:t>
      </w:r>
      <w:proofErr w:type="spellStart"/>
      <w:r w:rsidRPr="00EB2EAE">
        <w:rPr>
          <w:rFonts w:ascii="Avenir Light" w:eastAsia="Times New Roman" w:hAnsi="Avenir Light" w:cs="Times New Roman"/>
          <w:color w:val="000000"/>
          <w:kern w:val="0"/>
          <w14:ligatures w14:val="none"/>
        </w:rPr>
        <w:t>Kinetik’s</w:t>
      </w:r>
      <w:proofErr w:type="spellEnd"/>
      <w:r w:rsidRPr="00EB2EAE">
        <w:rPr>
          <w:rFonts w:ascii="Avenir Light" w:eastAsia="Times New Roman" w:hAnsi="Avenir Light" w:cs="Times New Roman"/>
          <w:color w:val="000000"/>
          <w:kern w:val="0"/>
          <w14:ligatures w14:val="none"/>
        </w:rPr>
        <w:t xml:space="preserve"> approach confirm the demand for deeper intelligence.</w:t>
      </w:r>
    </w:p>
    <w:p w14:paraId="32FD7EAA"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 xml:space="preserve">As more enterprises see disappointing ROI from traditional </w:t>
      </w:r>
      <w:proofErr w:type="spellStart"/>
      <w:r w:rsidRPr="00EB2EAE">
        <w:rPr>
          <w:rFonts w:ascii="Avenir Light" w:eastAsia="Times New Roman" w:hAnsi="Avenir Light" w:cs="Times New Roman"/>
          <w:color w:val="000000"/>
          <w:kern w:val="0"/>
          <w14:ligatures w14:val="none"/>
        </w:rPr>
        <w:t>RevTech</w:t>
      </w:r>
      <w:proofErr w:type="spellEnd"/>
      <w:r w:rsidRPr="00EB2EAE">
        <w:rPr>
          <w:rFonts w:ascii="Avenir Light" w:eastAsia="Times New Roman" w:hAnsi="Avenir Light" w:cs="Times New Roman"/>
          <w:color w:val="000000"/>
          <w:kern w:val="0"/>
          <w14:ligatures w14:val="none"/>
        </w:rPr>
        <w:t xml:space="preserve">, demand for custom AI-driven engines will grow. These engines don’t replace platforms but power them with context-specific intelligence aligned to a company’s GTM model, product complexity, and partner ecosystem. This represents a significant growth wave as enterprises recognize that only custom AI orchestration at the buying center level can unlock the full promise of their </w:t>
      </w:r>
      <w:proofErr w:type="spellStart"/>
      <w:r w:rsidRPr="00EB2EAE">
        <w:rPr>
          <w:rFonts w:ascii="Avenir Light" w:eastAsia="Times New Roman" w:hAnsi="Avenir Light" w:cs="Times New Roman"/>
          <w:color w:val="000000"/>
          <w:kern w:val="0"/>
          <w14:ligatures w14:val="none"/>
        </w:rPr>
        <w:t>RevTech</w:t>
      </w:r>
      <w:proofErr w:type="spellEnd"/>
      <w:r w:rsidRPr="00EB2EAE">
        <w:rPr>
          <w:rFonts w:ascii="Avenir Light" w:eastAsia="Times New Roman" w:hAnsi="Avenir Light" w:cs="Times New Roman"/>
          <w:color w:val="000000"/>
          <w:kern w:val="0"/>
          <w14:ligatures w14:val="none"/>
        </w:rPr>
        <w:t xml:space="preserve"> stack.</w:t>
      </w:r>
    </w:p>
    <w:p w14:paraId="41F11972"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 xml:space="preserve">Our bottoms-up analysis shows a global TAM of $400M across the top 1,000 enterprise tech companies, with a North America SAM of $75M by 2028. </w:t>
      </w:r>
      <w:proofErr w:type="spellStart"/>
      <w:r w:rsidRPr="00EB2EAE">
        <w:rPr>
          <w:rFonts w:ascii="Avenir Light" w:eastAsia="Times New Roman" w:hAnsi="Avenir Light" w:cs="Times New Roman"/>
          <w:color w:val="000000"/>
          <w:kern w:val="0"/>
          <w14:ligatures w14:val="none"/>
        </w:rPr>
        <w:t>Kinetik’s</w:t>
      </w:r>
      <w:proofErr w:type="spellEnd"/>
      <w:r w:rsidRPr="00EB2EAE">
        <w:rPr>
          <w:rFonts w:ascii="Avenir Light" w:eastAsia="Times New Roman" w:hAnsi="Avenir Light" w:cs="Times New Roman"/>
          <w:color w:val="000000"/>
          <w:kern w:val="0"/>
          <w14:ligatures w14:val="none"/>
        </w:rPr>
        <w:t> SOM is ~$5M ARR by 2028, reflecting capture of ~10 enterprise clients. This provides both a credible near-term opportunity and long-term expansion potential.</w:t>
      </w:r>
    </w:p>
    <w:p w14:paraId="596A1483" w14:textId="77777777" w:rsidR="00EB2EAE" w:rsidRPr="00EB2EAE" w:rsidRDefault="00AC127F" w:rsidP="00EB2EAE">
      <w:pPr>
        <w:spacing w:after="0" w:line="240" w:lineRule="auto"/>
        <w:rPr>
          <w:rFonts w:ascii="Avenir Light" w:eastAsia="Times New Roman" w:hAnsi="Avenir Light" w:cs="Times New Roman"/>
          <w:kern w:val="0"/>
          <w14:ligatures w14:val="none"/>
        </w:rPr>
      </w:pPr>
      <w:r w:rsidRPr="00AC127F">
        <w:rPr>
          <w:rFonts w:ascii="Avenir Light" w:eastAsia="Times New Roman" w:hAnsi="Avenir Light" w:cs="Times New Roman"/>
          <w:noProof/>
          <w:kern w:val="0"/>
        </w:rPr>
        <w:pict w14:anchorId="593300CD">
          <v:rect id="_x0000_i1026" alt="" style="width:468pt;height:.05pt;mso-width-percent:0;mso-height-percent:0;mso-width-percent:0;mso-height-percent:0" o:hralign="center" o:hrstd="t" o:hr="t" fillcolor="#a0a0a0" stroked="f"/>
        </w:pict>
      </w:r>
    </w:p>
    <w:p w14:paraId="55A1C738" w14:textId="77777777" w:rsidR="00EB2EAE" w:rsidRPr="00EB2EAE" w:rsidRDefault="00EB2EAE" w:rsidP="00EB2EAE">
      <w:pPr>
        <w:spacing w:before="100" w:beforeAutospacing="1" w:after="100" w:afterAutospacing="1" w:line="240" w:lineRule="auto"/>
        <w:outlineLvl w:val="2"/>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Traction</w:t>
      </w:r>
    </w:p>
    <w:p w14:paraId="3A64A32F" w14:textId="77777777" w:rsidR="00EB2EAE" w:rsidRPr="00EB2EAE" w:rsidRDefault="00EB2EAE" w:rsidP="00EB2EAE">
      <w:pPr>
        <w:numPr>
          <w:ilvl w:val="0"/>
          <w:numId w:val="5"/>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First paid customer: IBM Software (delivered buying group mapping, journey insights, engagement scoring).</w:t>
      </w:r>
    </w:p>
    <w:p w14:paraId="41D514DF" w14:textId="77777777" w:rsidR="00EB2EAE" w:rsidRPr="00EB2EAE" w:rsidRDefault="00EB2EAE" w:rsidP="00EB2EAE">
      <w:pPr>
        <w:numPr>
          <w:ilvl w:val="0"/>
          <w:numId w:val="5"/>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 xml:space="preserve">50+ interviews with sales, marketing, and </w:t>
      </w:r>
      <w:proofErr w:type="spellStart"/>
      <w:r w:rsidRPr="00EB2EAE">
        <w:rPr>
          <w:rFonts w:ascii="Avenir Light" w:eastAsia="Times New Roman" w:hAnsi="Avenir Light" w:cs="Times New Roman"/>
          <w:color w:val="000000"/>
          <w:kern w:val="0"/>
          <w14:ligatures w14:val="none"/>
        </w:rPr>
        <w:t>RevOps</w:t>
      </w:r>
      <w:proofErr w:type="spellEnd"/>
      <w:r w:rsidRPr="00EB2EAE">
        <w:rPr>
          <w:rFonts w:ascii="Avenir Light" w:eastAsia="Times New Roman" w:hAnsi="Avenir Light" w:cs="Times New Roman"/>
          <w:color w:val="000000"/>
          <w:kern w:val="0"/>
          <w14:ligatures w14:val="none"/>
        </w:rPr>
        <w:t xml:space="preserve"> leaders validating problem and solution fit.</w:t>
      </w:r>
    </w:p>
    <w:p w14:paraId="268E7DD7" w14:textId="77777777" w:rsidR="00EB2EAE" w:rsidRPr="00EB2EAE" w:rsidRDefault="00EB2EAE" w:rsidP="00EB2EAE">
      <w:pPr>
        <w:numPr>
          <w:ilvl w:val="0"/>
          <w:numId w:val="5"/>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Selected for AWS and Innovate Carolina accelerators; UNC Kenan-Flagler Discovery Program.</w:t>
      </w:r>
    </w:p>
    <w:p w14:paraId="437E57E1" w14:textId="77777777" w:rsidR="00EB2EAE" w:rsidRPr="00EB2EAE" w:rsidRDefault="00EB2EAE" w:rsidP="00EB2EAE">
      <w:pPr>
        <w:numPr>
          <w:ilvl w:val="0"/>
          <w:numId w:val="5"/>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Closed $150K proof-of-concept; SaaS launch scheduled for October 2025.</w:t>
      </w:r>
    </w:p>
    <w:p w14:paraId="60FE241C" w14:textId="77777777" w:rsidR="00EB2EAE" w:rsidRPr="00EB2EAE" w:rsidRDefault="00EB2EAE" w:rsidP="00EB2EAE">
      <w:pPr>
        <w:numPr>
          <w:ilvl w:val="0"/>
          <w:numId w:val="5"/>
        </w:numPr>
        <w:spacing w:before="100" w:beforeAutospacing="1" w:after="100" w:afterAutospacing="1" w:line="240" w:lineRule="auto"/>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Targeting $1M ARR by end of 2026.</w:t>
      </w:r>
    </w:p>
    <w:p w14:paraId="10BC2A0E" w14:textId="77777777" w:rsidR="00EB2EAE" w:rsidRPr="00EB2EAE" w:rsidRDefault="00AC127F" w:rsidP="00EB2EAE">
      <w:pPr>
        <w:spacing w:after="0" w:line="240" w:lineRule="auto"/>
        <w:rPr>
          <w:rFonts w:ascii="Avenir Light" w:eastAsia="Times New Roman" w:hAnsi="Avenir Light" w:cs="Times New Roman"/>
          <w:kern w:val="0"/>
          <w14:ligatures w14:val="none"/>
        </w:rPr>
      </w:pPr>
      <w:r w:rsidRPr="00AC127F">
        <w:rPr>
          <w:rFonts w:ascii="Avenir Light" w:eastAsia="Times New Roman" w:hAnsi="Avenir Light" w:cs="Times New Roman"/>
          <w:noProof/>
          <w:kern w:val="0"/>
        </w:rPr>
        <w:pict w14:anchorId="14B2AB1E">
          <v:rect id="_x0000_i1025" alt="" style="width:468pt;height:.05pt;mso-width-percent:0;mso-height-percent:0;mso-width-percent:0;mso-height-percent:0" o:hralign="center" o:hrstd="t" o:hr="t" fillcolor="#a0a0a0" stroked="f"/>
        </w:pict>
      </w:r>
    </w:p>
    <w:p w14:paraId="1DA6136F" w14:textId="77777777" w:rsidR="00EB2EAE" w:rsidRPr="00EB2EAE" w:rsidRDefault="00EB2EAE" w:rsidP="00EB2EAE">
      <w:pPr>
        <w:spacing w:before="100" w:beforeAutospacing="1" w:after="100" w:afterAutospacing="1" w:line="240" w:lineRule="auto"/>
        <w:outlineLvl w:val="2"/>
        <w:rPr>
          <w:rFonts w:ascii="Avenir Light" w:eastAsia="Times New Roman" w:hAnsi="Avenir Light" w:cs="Times New Roman"/>
          <w:color w:val="000000"/>
          <w:kern w:val="0"/>
          <w14:ligatures w14:val="none"/>
        </w:rPr>
      </w:pPr>
      <w:r w:rsidRPr="00EB2EAE">
        <w:rPr>
          <w:rFonts w:ascii="Avenir Light" w:eastAsia="Times New Roman" w:hAnsi="Avenir Light" w:cs="Times New Roman"/>
          <w:color w:val="000000"/>
          <w:kern w:val="0"/>
          <w14:ligatures w14:val="none"/>
        </w:rPr>
        <w:t>Conclusion</w:t>
      </w:r>
    </w:p>
    <w:p w14:paraId="07445395" w14:textId="77777777" w:rsidR="00EB2EAE" w:rsidRPr="00EB2EAE" w:rsidRDefault="00EB2EAE" w:rsidP="00EB2EAE">
      <w:pPr>
        <w:spacing w:before="100" w:beforeAutospacing="1" w:after="100" w:afterAutospacing="1" w:line="240" w:lineRule="auto"/>
        <w:rPr>
          <w:rFonts w:ascii="Avenir Light" w:eastAsia="Times New Roman" w:hAnsi="Avenir Light" w:cs="Times New Roman"/>
          <w:color w:val="000000"/>
          <w:kern w:val="0"/>
          <w14:ligatures w14:val="none"/>
        </w:rPr>
      </w:pPr>
      <w:proofErr w:type="spellStart"/>
      <w:r w:rsidRPr="00EB2EAE">
        <w:rPr>
          <w:rFonts w:ascii="Avenir Light" w:eastAsia="Times New Roman" w:hAnsi="Avenir Light" w:cs="Times New Roman"/>
          <w:color w:val="000000"/>
          <w:kern w:val="0"/>
          <w14:ligatures w14:val="none"/>
        </w:rPr>
        <w:t>Kinetik</w:t>
      </w:r>
      <w:proofErr w:type="spellEnd"/>
      <w:r w:rsidRPr="00EB2EAE">
        <w:rPr>
          <w:rFonts w:ascii="Avenir Light" w:eastAsia="Times New Roman" w:hAnsi="Avenir Light" w:cs="Times New Roman"/>
          <w:color w:val="000000"/>
          <w:kern w:val="0"/>
          <w14:ligatures w14:val="none"/>
        </w:rPr>
        <w:t xml:space="preserve"> is pioneering custom AI-driven buying center intelligence for enterprise B2B companies. With defensible IP, a flexible SaaS + DIY revenue model, strong early </w:t>
      </w:r>
      <w:r w:rsidRPr="00EB2EAE">
        <w:rPr>
          <w:rFonts w:ascii="Avenir Light" w:eastAsia="Times New Roman" w:hAnsi="Avenir Light" w:cs="Times New Roman"/>
          <w:color w:val="000000"/>
          <w:kern w:val="0"/>
          <w14:ligatures w14:val="none"/>
        </w:rPr>
        <w:lastRenderedPageBreak/>
        <w:t>traction, and a growing market opportunity, we are positioned to transform how enterprises go to market and accelerate complex sales cycles.</w:t>
      </w:r>
    </w:p>
    <w:p w14:paraId="6502246A" w14:textId="77777777" w:rsidR="008E5DF7" w:rsidRPr="00EB2EAE" w:rsidRDefault="008E5DF7">
      <w:pPr>
        <w:rPr>
          <w:rFonts w:ascii="Avenir Light" w:hAnsi="Avenir Light"/>
        </w:rPr>
      </w:pPr>
    </w:p>
    <w:sectPr w:rsidR="008E5DF7" w:rsidRPr="00EB2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4FD0"/>
    <w:multiLevelType w:val="multilevel"/>
    <w:tmpl w:val="2AC6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654B26"/>
    <w:multiLevelType w:val="multilevel"/>
    <w:tmpl w:val="5A46B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6E5E19"/>
    <w:multiLevelType w:val="multilevel"/>
    <w:tmpl w:val="5F60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439DB"/>
    <w:multiLevelType w:val="multilevel"/>
    <w:tmpl w:val="7AAE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06F98"/>
    <w:multiLevelType w:val="multilevel"/>
    <w:tmpl w:val="B3D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066833">
    <w:abstractNumId w:val="0"/>
  </w:num>
  <w:num w:numId="2" w16cid:durableId="1564683779">
    <w:abstractNumId w:val="1"/>
  </w:num>
  <w:num w:numId="3" w16cid:durableId="1145703976">
    <w:abstractNumId w:val="3"/>
  </w:num>
  <w:num w:numId="4" w16cid:durableId="651639190">
    <w:abstractNumId w:val="2"/>
  </w:num>
  <w:num w:numId="5" w16cid:durableId="1855730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AE"/>
    <w:rsid w:val="001D3DA5"/>
    <w:rsid w:val="002769B0"/>
    <w:rsid w:val="00454BC9"/>
    <w:rsid w:val="00830F2B"/>
    <w:rsid w:val="008E5DF7"/>
    <w:rsid w:val="00AC127F"/>
    <w:rsid w:val="00E15E7E"/>
    <w:rsid w:val="00E414C4"/>
    <w:rsid w:val="00EB2EAE"/>
    <w:rsid w:val="00EF766E"/>
    <w:rsid w:val="00F1118C"/>
    <w:rsid w:val="00F8460B"/>
    <w:rsid w:val="00FE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C05D"/>
  <w15:chartTrackingRefBased/>
  <w15:docId w15:val="{50859119-4CF5-0B40-920A-ADB6FF7E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E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B2E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2E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2E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2E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2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E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B2E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B2E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2E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2E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2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EAE"/>
    <w:rPr>
      <w:rFonts w:eastAsiaTheme="majorEastAsia" w:cstheme="majorBidi"/>
      <w:color w:val="272727" w:themeColor="text1" w:themeTint="D8"/>
    </w:rPr>
  </w:style>
  <w:style w:type="paragraph" w:styleId="Title">
    <w:name w:val="Title"/>
    <w:basedOn w:val="Normal"/>
    <w:next w:val="Normal"/>
    <w:link w:val="TitleChar"/>
    <w:uiPriority w:val="10"/>
    <w:qFormat/>
    <w:rsid w:val="00EB2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EAE"/>
    <w:pPr>
      <w:spacing w:before="160"/>
      <w:jc w:val="center"/>
    </w:pPr>
    <w:rPr>
      <w:i/>
      <w:iCs/>
      <w:color w:val="404040" w:themeColor="text1" w:themeTint="BF"/>
    </w:rPr>
  </w:style>
  <w:style w:type="character" w:customStyle="1" w:styleId="QuoteChar">
    <w:name w:val="Quote Char"/>
    <w:basedOn w:val="DefaultParagraphFont"/>
    <w:link w:val="Quote"/>
    <w:uiPriority w:val="29"/>
    <w:rsid w:val="00EB2EAE"/>
    <w:rPr>
      <w:i/>
      <w:iCs/>
      <w:color w:val="404040" w:themeColor="text1" w:themeTint="BF"/>
    </w:rPr>
  </w:style>
  <w:style w:type="paragraph" w:styleId="ListParagraph">
    <w:name w:val="List Paragraph"/>
    <w:basedOn w:val="Normal"/>
    <w:uiPriority w:val="34"/>
    <w:qFormat/>
    <w:rsid w:val="00EB2EAE"/>
    <w:pPr>
      <w:ind w:left="720"/>
      <w:contextualSpacing/>
    </w:pPr>
  </w:style>
  <w:style w:type="character" w:styleId="IntenseEmphasis">
    <w:name w:val="Intense Emphasis"/>
    <w:basedOn w:val="DefaultParagraphFont"/>
    <w:uiPriority w:val="21"/>
    <w:qFormat/>
    <w:rsid w:val="00EB2EAE"/>
    <w:rPr>
      <w:i/>
      <w:iCs/>
      <w:color w:val="2F5496" w:themeColor="accent1" w:themeShade="BF"/>
    </w:rPr>
  </w:style>
  <w:style w:type="paragraph" w:styleId="IntenseQuote">
    <w:name w:val="Intense Quote"/>
    <w:basedOn w:val="Normal"/>
    <w:next w:val="Normal"/>
    <w:link w:val="IntenseQuoteChar"/>
    <w:uiPriority w:val="30"/>
    <w:qFormat/>
    <w:rsid w:val="00EB2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2EAE"/>
    <w:rPr>
      <w:i/>
      <w:iCs/>
      <w:color w:val="2F5496" w:themeColor="accent1" w:themeShade="BF"/>
    </w:rPr>
  </w:style>
  <w:style w:type="character" w:styleId="IntenseReference">
    <w:name w:val="Intense Reference"/>
    <w:basedOn w:val="DefaultParagraphFont"/>
    <w:uiPriority w:val="32"/>
    <w:qFormat/>
    <w:rsid w:val="00EB2EAE"/>
    <w:rPr>
      <w:b/>
      <w:bCs/>
      <w:smallCaps/>
      <w:color w:val="2F5496" w:themeColor="accent1" w:themeShade="BF"/>
      <w:spacing w:val="5"/>
    </w:rPr>
  </w:style>
  <w:style w:type="paragraph" w:styleId="NormalWeb">
    <w:name w:val="Normal (Web)"/>
    <w:basedOn w:val="Normal"/>
    <w:uiPriority w:val="99"/>
    <w:semiHidden/>
    <w:unhideWhenUsed/>
    <w:rsid w:val="00EB2E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B2EAE"/>
  </w:style>
  <w:style w:type="character" w:styleId="Strong">
    <w:name w:val="Strong"/>
    <w:basedOn w:val="DefaultParagraphFont"/>
    <w:uiPriority w:val="22"/>
    <w:qFormat/>
    <w:rsid w:val="00EB2EAE"/>
    <w:rPr>
      <w:b/>
      <w:bCs/>
    </w:rPr>
  </w:style>
  <w:style w:type="character" w:styleId="Emphasis">
    <w:name w:val="Emphasis"/>
    <w:basedOn w:val="DefaultParagraphFont"/>
    <w:uiPriority w:val="20"/>
    <w:qFormat/>
    <w:rsid w:val="00EB2E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998</Words>
  <Characters>5692</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Hughes</dc:creator>
  <cp:keywords/>
  <dc:description/>
  <cp:lastModifiedBy>David Hughes</cp:lastModifiedBy>
  <cp:revision>1</cp:revision>
  <dcterms:created xsi:type="dcterms:W3CDTF">2025-08-22T11:40:00Z</dcterms:created>
  <dcterms:modified xsi:type="dcterms:W3CDTF">2025-08-22T11:41:00Z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2025-08-22T11:41:26Z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f9b74705-55e3-464f-976d-4e2cc0afe67e</vt:lpwstr>
  </property>
  <property fmtid="{D5CDD505-2E9C-101B-9397-08002B2CF9AE}" pid="7" name="MSIP_Label_defa4170-0d19-0005-0004-bc88714345d2_ActionId">
    <vt:lpwstr>23b5194e-fd9f-4b32-9675-f0dd27e40c5e</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